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D6699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VTE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Annual General Mandate 2020</w:t>
      </w:r>
      <w:r w:rsidR="00B14615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D66996">
        <w:rPr>
          <w:rFonts w:ascii="Arial" w:hAnsi="Arial" w:cs="Arial"/>
          <w:sz w:val="20"/>
          <w:szCs w:val="20"/>
        </w:rPr>
        <w:t>2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91067" w:rsidRPr="00391067">
        <w:rPr>
          <w:rFonts w:ascii="Arial" w:hAnsi="Arial" w:cs="Arial"/>
          <w:sz w:val="20"/>
          <w:szCs w:val="20"/>
        </w:rPr>
        <w:t>Vinacap</w:t>
      </w:r>
      <w:proofErr w:type="spellEnd"/>
      <w:r w:rsidR="00391067" w:rsidRPr="00391067">
        <w:rPr>
          <w:rFonts w:ascii="Arial" w:hAnsi="Arial" w:cs="Arial"/>
          <w:sz w:val="20"/>
          <w:szCs w:val="20"/>
        </w:rPr>
        <w:t xml:space="preserve"> Telecom Electronics Joint Stock Company</w:t>
      </w:r>
      <w:r w:rsidR="0039106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91067">
        <w:rPr>
          <w:rFonts w:ascii="Arial" w:hAnsi="Arial" w:cs="Arial"/>
          <w:sz w:val="20"/>
          <w:szCs w:val="20"/>
        </w:rPr>
        <w:t xml:space="preserve">annual General Mandate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91067" w:rsidRDefault="003910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the report on operation in 2019 and operation plan for 2020 of the Management Board </w:t>
      </w:r>
    </w:p>
    <w:p w:rsidR="00391067" w:rsidRDefault="003910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Approve the </w:t>
      </w:r>
      <w:r>
        <w:rPr>
          <w:rFonts w:ascii="Arial" w:hAnsi="Arial" w:cs="Arial"/>
          <w:sz w:val="20"/>
          <w:szCs w:val="20"/>
        </w:rPr>
        <w:t>report on operation in 2019 and operation plan for 2020 of the</w:t>
      </w:r>
      <w:r>
        <w:rPr>
          <w:rFonts w:ascii="Arial" w:hAnsi="Arial" w:cs="Arial"/>
          <w:sz w:val="20"/>
          <w:szCs w:val="20"/>
        </w:rPr>
        <w:t xml:space="preserve"> Board of Directors </w:t>
      </w:r>
    </w:p>
    <w:p w:rsidR="00391067" w:rsidRDefault="003910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Approve the </w:t>
      </w:r>
      <w:r>
        <w:rPr>
          <w:rFonts w:ascii="Arial" w:hAnsi="Arial" w:cs="Arial"/>
          <w:sz w:val="20"/>
          <w:szCs w:val="20"/>
        </w:rPr>
        <w:t>report on operation in 2019</w:t>
      </w:r>
      <w:r>
        <w:rPr>
          <w:rFonts w:ascii="Arial" w:hAnsi="Arial" w:cs="Arial"/>
          <w:sz w:val="20"/>
          <w:szCs w:val="20"/>
        </w:rPr>
        <w:t xml:space="preserve"> of the Supervisory Board </w:t>
      </w:r>
    </w:p>
    <w:p w:rsidR="00931D6D" w:rsidRDefault="00931D6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 the financial statement of 2019 audited by AASC Auditing Firm Co., Ltd</w:t>
      </w:r>
    </w:p>
    <w:p w:rsidR="00931D6D" w:rsidRDefault="00931D6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5: Approve the operation results of 2019 and </w:t>
      </w:r>
      <w:r w:rsidR="00F160CA">
        <w:rPr>
          <w:rFonts w:ascii="Arial" w:hAnsi="Arial" w:cs="Arial"/>
          <w:sz w:val="20"/>
          <w:szCs w:val="20"/>
        </w:rPr>
        <w:t>profit distribution, dividend payment and remuneration payment to the Board of Directors and Supervisory Board for 2019</w:t>
      </w:r>
    </w:p>
    <w:p w:rsidR="00F160CA" w:rsidRDefault="00F160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6: </w:t>
      </w:r>
      <w:r w:rsidR="00814AC5">
        <w:rPr>
          <w:rFonts w:ascii="Arial" w:hAnsi="Arial" w:cs="Arial"/>
          <w:sz w:val="20"/>
          <w:szCs w:val="20"/>
        </w:rPr>
        <w:t>Approve operation plan, plan on profit distribution and dividend payment; plan on remuneration payment to the Board of Directors, Supervisory Board; plan on investment</w:t>
      </w:r>
    </w:p>
    <w:p w:rsidR="00814AC5" w:rsidRDefault="00814AC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 Operation results of 2019</w:t>
      </w:r>
    </w:p>
    <w:p w:rsidR="00814AC5" w:rsidRDefault="00814AC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722"/>
        <w:gridCol w:w="1596"/>
        <w:gridCol w:w="1595"/>
        <w:gridCol w:w="1596"/>
        <w:gridCol w:w="1595"/>
      </w:tblGrid>
      <w:tr w:rsidR="00AD0C24" w:rsidTr="00B516CC">
        <w:tc>
          <w:tcPr>
            <w:tcW w:w="472" w:type="dxa"/>
            <w:vMerge w:val="restart"/>
          </w:tcPr>
          <w:p w:rsidR="00AD0C24" w:rsidRDefault="00AD0C24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22" w:type="dxa"/>
            <w:vMerge w:val="restart"/>
          </w:tcPr>
          <w:p w:rsidR="00AD0C24" w:rsidRDefault="00AD0C24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1596" w:type="dxa"/>
            <w:vMerge w:val="restart"/>
          </w:tcPr>
          <w:p w:rsidR="00AD0C24" w:rsidRDefault="00AD0C24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2018</w:t>
            </w:r>
          </w:p>
        </w:tc>
        <w:tc>
          <w:tcPr>
            <w:tcW w:w="4786" w:type="dxa"/>
            <w:gridSpan w:val="3"/>
          </w:tcPr>
          <w:p w:rsidR="00AD0C24" w:rsidRDefault="00AD0C24" w:rsidP="00AD0C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</w:tr>
      <w:tr w:rsidR="00AD0C24" w:rsidTr="00AD0C24">
        <w:tc>
          <w:tcPr>
            <w:tcW w:w="472" w:type="dxa"/>
            <w:vMerge/>
          </w:tcPr>
          <w:p w:rsidR="00AD0C24" w:rsidRDefault="00AD0C24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AD0C24" w:rsidRDefault="00AD0C24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AD0C24" w:rsidRDefault="00AD0C24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AD0C24" w:rsidRDefault="00AD0C24" w:rsidP="00AD0C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596" w:type="dxa"/>
          </w:tcPr>
          <w:p w:rsidR="00AD0C24" w:rsidRDefault="00AD0C24" w:rsidP="00AD0C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</w:t>
            </w:r>
          </w:p>
        </w:tc>
        <w:tc>
          <w:tcPr>
            <w:tcW w:w="1595" w:type="dxa"/>
          </w:tcPr>
          <w:p w:rsidR="00AD0C24" w:rsidRDefault="00AD0C24" w:rsidP="00AD0C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+/-</w:t>
            </w:r>
          </w:p>
        </w:tc>
      </w:tr>
      <w:tr w:rsidR="00814AC5" w:rsidTr="00AD0C24">
        <w:tc>
          <w:tcPr>
            <w:tcW w:w="472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596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709,780</w:t>
            </w:r>
          </w:p>
        </w:tc>
        <w:tc>
          <w:tcPr>
            <w:tcW w:w="1595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624,015</w:t>
            </w:r>
          </w:p>
        </w:tc>
        <w:tc>
          <w:tcPr>
            <w:tcW w:w="1596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800,705</w:t>
            </w:r>
          </w:p>
        </w:tc>
        <w:tc>
          <w:tcPr>
            <w:tcW w:w="1595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28%</w:t>
            </w:r>
          </w:p>
        </w:tc>
      </w:tr>
      <w:tr w:rsidR="00814AC5" w:rsidTr="00AD0C24">
        <w:tc>
          <w:tcPr>
            <w:tcW w:w="472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596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3,174</w:t>
            </w:r>
          </w:p>
        </w:tc>
        <w:tc>
          <w:tcPr>
            <w:tcW w:w="1595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13,860</w:t>
            </w:r>
          </w:p>
        </w:tc>
        <w:tc>
          <w:tcPr>
            <w:tcW w:w="1596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8,594</w:t>
            </w:r>
          </w:p>
        </w:tc>
        <w:tc>
          <w:tcPr>
            <w:tcW w:w="1595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-38%</w:t>
            </w:r>
          </w:p>
        </w:tc>
      </w:tr>
      <w:tr w:rsidR="00814AC5" w:rsidTr="00AD0C24">
        <w:tc>
          <w:tcPr>
            <w:tcW w:w="472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2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596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2,531</w:t>
            </w:r>
          </w:p>
        </w:tc>
        <w:tc>
          <w:tcPr>
            <w:tcW w:w="1595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11,090</w:t>
            </w:r>
          </w:p>
        </w:tc>
        <w:tc>
          <w:tcPr>
            <w:tcW w:w="1596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5,922</w:t>
            </w:r>
          </w:p>
        </w:tc>
        <w:tc>
          <w:tcPr>
            <w:tcW w:w="1595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-47%</w:t>
            </w:r>
          </w:p>
        </w:tc>
      </w:tr>
      <w:tr w:rsidR="00814AC5" w:rsidTr="00AD0C24">
        <w:tc>
          <w:tcPr>
            <w:tcW w:w="472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2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Charter capital</w:t>
            </w:r>
          </w:p>
        </w:tc>
        <w:tc>
          <w:tcPr>
            <w:tcW w:w="1596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595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596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595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14AC5" w:rsidTr="00AD0C24">
        <w:tc>
          <w:tcPr>
            <w:tcW w:w="472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2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rate (%)</w:t>
            </w:r>
          </w:p>
        </w:tc>
        <w:tc>
          <w:tcPr>
            <w:tcW w:w="1596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1.5%/ charter capital</w:t>
            </w:r>
          </w:p>
        </w:tc>
        <w:tc>
          <w:tcPr>
            <w:tcW w:w="1595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5%/ charter capital</w:t>
            </w:r>
          </w:p>
        </w:tc>
        <w:tc>
          <w:tcPr>
            <w:tcW w:w="1596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3.8%/ charter capital</w:t>
            </w:r>
          </w:p>
        </w:tc>
        <w:tc>
          <w:tcPr>
            <w:tcW w:w="1595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-24%</w:t>
            </w:r>
          </w:p>
        </w:tc>
      </w:tr>
      <w:tr w:rsidR="00814AC5" w:rsidTr="00AD0C24">
        <w:tc>
          <w:tcPr>
            <w:tcW w:w="472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22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Remuneration for the Board of Directors and Supervisory Board </w:t>
            </w:r>
          </w:p>
        </w:tc>
        <w:tc>
          <w:tcPr>
            <w:tcW w:w="1596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56.9</w:t>
            </w:r>
          </w:p>
        </w:tc>
        <w:tc>
          <w:tcPr>
            <w:tcW w:w="1595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3% of profit after tax </w:t>
            </w:r>
          </w:p>
        </w:tc>
        <w:tc>
          <w:tcPr>
            <w:tcW w:w="1596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95" w:type="dxa"/>
          </w:tcPr>
          <w:p w:rsidR="00814AC5" w:rsidRDefault="00814AC5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AC5" w:rsidTr="00AD0C24">
        <w:tc>
          <w:tcPr>
            <w:tcW w:w="472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22" w:type="dxa"/>
          </w:tcPr>
          <w:p w:rsidR="00814AC5" w:rsidRDefault="0081553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funds</w:t>
            </w:r>
          </w:p>
        </w:tc>
        <w:tc>
          <w:tcPr>
            <w:tcW w:w="1596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prescribed</w:t>
            </w:r>
          </w:p>
        </w:tc>
        <w:tc>
          <w:tcPr>
            <w:tcW w:w="1596" w:type="dxa"/>
          </w:tcPr>
          <w:p w:rsidR="00814AC5" w:rsidRDefault="00230EC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814AC5" w:rsidRDefault="00814AC5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AC5" w:rsidRDefault="0056561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(Audited financial statement of 2019)</w:t>
      </w:r>
    </w:p>
    <w:p w:rsidR="00407094" w:rsidRDefault="0040709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 w:rsidR="00565610" w:rsidRPr="00565610">
        <w:rPr>
          <w:rFonts w:ascii="Arial" w:hAnsi="Arial" w:cs="Arial"/>
          <w:sz w:val="20"/>
          <w:szCs w:val="20"/>
        </w:rPr>
        <w:t xml:space="preserve"> Profit distribution, dividend payment and remuneration </w:t>
      </w:r>
      <w:r>
        <w:rPr>
          <w:rFonts w:ascii="Arial" w:hAnsi="Arial" w:cs="Arial"/>
          <w:sz w:val="20"/>
          <w:szCs w:val="20"/>
        </w:rPr>
        <w:t>payment to</w:t>
      </w:r>
      <w:r w:rsidR="00565610" w:rsidRPr="00565610">
        <w:rPr>
          <w:rFonts w:ascii="Arial" w:hAnsi="Arial" w:cs="Arial"/>
          <w:sz w:val="20"/>
          <w:szCs w:val="20"/>
        </w:rPr>
        <w:t xml:space="preserve"> the Board of Directors - Supervisory Board </w:t>
      </w:r>
      <w:r>
        <w:rPr>
          <w:rFonts w:ascii="Arial" w:hAnsi="Arial" w:cs="Arial"/>
          <w:sz w:val="20"/>
          <w:szCs w:val="20"/>
        </w:rPr>
        <w:t xml:space="preserve">for </w:t>
      </w:r>
      <w:r w:rsidR="00565610" w:rsidRPr="00565610">
        <w:rPr>
          <w:rFonts w:ascii="Arial" w:hAnsi="Arial" w:cs="Arial"/>
          <w:sz w:val="20"/>
          <w:szCs w:val="20"/>
        </w:rPr>
        <w:t xml:space="preserve">2019: </w:t>
      </w:r>
    </w:p>
    <w:p w:rsidR="009E4487" w:rsidRDefault="0056561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5610">
        <w:rPr>
          <w:rFonts w:ascii="Arial" w:hAnsi="Arial" w:cs="Arial"/>
          <w:sz w:val="20"/>
          <w:szCs w:val="20"/>
        </w:rPr>
        <w:t xml:space="preserve">According to the </w:t>
      </w:r>
      <w:r w:rsidR="00407094">
        <w:rPr>
          <w:rFonts w:ascii="Arial" w:hAnsi="Arial" w:cs="Arial"/>
          <w:sz w:val="20"/>
          <w:szCs w:val="20"/>
        </w:rPr>
        <w:t>General Mandate No.55/19/NQ-</w:t>
      </w:r>
      <w:r w:rsidRPr="00565610">
        <w:rPr>
          <w:rFonts w:ascii="Arial" w:hAnsi="Arial" w:cs="Arial"/>
          <w:sz w:val="20"/>
          <w:szCs w:val="20"/>
        </w:rPr>
        <w:t>DHDCD dated May 24, 2019: Based on the audited financia</w:t>
      </w:r>
      <w:r w:rsidR="00407094">
        <w:rPr>
          <w:rFonts w:ascii="Arial" w:hAnsi="Arial" w:cs="Arial"/>
          <w:sz w:val="20"/>
          <w:szCs w:val="20"/>
        </w:rPr>
        <w:t>l statement</w:t>
      </w:r>
      <w:r w:rsidRPr="00565610">
        <w:rPr>
          <w:rFonts w:ascii="Arial" w:hAnsi="Arial" w:cs="Arial"/>
          <w:sz w:val="20"/>
          <w:szCs w:val="20"/>
        </w:rPr>
        <w:t xml:space="preserve">, </w:t>
      </w:r>
      <w:r w:rsidR="002E79AB">
        <w:rPr>
          <w:rFonts w:ascii="Arial" w:hAnsi="Arial" w:cs="Arial"/>
          <w:sz w:val="20"/>
          <w:szCs w:val="20"/>
        </w:rPr>
        <w:t>operation results of</w:t>
      </w:r>
      <w:r w:rsidRPr="00565610">
        <w:rPr>
          <w:rFonts w:ascii="Arial" w:hAnsi="Arial" w:cs="Arial"/>
          <w:sz w:val="20"/>
          <w:szCs w:val="20"/>
        </w:rPr>
        <w:t xml:space="preserve"> 2</w:t>
      </w:r>
      <w:r w:rsidR="002E79AB">
        <w:rPr>
          <w:rFonts w:ascii="Arial" w:hAnsi="Arial" w:cs="Arial"/>
          <w:sz w:val="20"/>
          <w:szCs w:val="20"/>
        </w:rPr>
        <w:t>019: Profit after tax in 2019: VND 5,922,310,821;</w:t>
      </w:r>
      <w:r w:rsidRPr="00565610">
        <w:rPr>
          <w:rFonts w:ascii="Arial" w:hAnsi="Arial" w:cs="Arial"/>
          <w:sz w:val="20"/>
          <w:szCs w:val="20"/>
        </w:rPr>
        <w:t xml:space="preserve"> </w:t>
      </w:r>
      <w:r w:rsidR="002E79AB">
        <w:rPr>
          <w:rFonts w:ascii="Arial" w:hAnsi="Arial" w:cs="Arial"/>
          <w:sz w:val="20"/>
          <w:szCs w:val="20"/>
        </w:rPr>
        <w:t>u</w:t>
      </w:r>
      <w:r w:rsidRPr="00565610">
        <w:rPr>
          <w:rFonts w:ascii="Arial" w:hAnsi="Arial" w:cs="Arial"/>
          <w:sz w:val="20"/>
          <w:szCs w:val="20"/>
        </w:rPr>
        <w:t xml:space="preserve">ndistributed </w:t>
      </w:r>
      <w:r w:rsidRPr="00565610">
        <w:rPr>
          <w:rFonts w:ascii="Arial" w:hAnsi="Arial" w:cs="Arial"/>
          <w:sz w:val="20"/>
          <w:szCs w:val="20"/>
        </w:rPr>
        <w:lastRenderedPageBreak/>
        <w:t>after-tax profit until the e</w:t>
      </w:r>
      <w:r w:rsidR="009E4487">
        <w:rPr>
          <w:rFonts w:ascii="Arial" w:hAnsi="Arial" w:cs="Arial"/>
          <w:sz w:val="20"/>
          <w:szCs w:val="20"/>
        </w:rPr>
        <w:t xml:space="preserve">nd of 2019: VND 6,122,776,206. </w:t>
      </w:r>
      <w:r w:rsidRPr="00565610">
        <w:rPr>
          <w:rFonts w:ascii="Arial" w:hAnsi="Arial" w:cs="Arial"/>
          <w:sz w:val="20"/>
          <w:szCs w:val="20"/>
        </w:rPr>
        <w:t xml:space="preserve">The </w:t>
      </w:r>
      <w:r w:rsidR="009E4487">
        <w:rPr>
          <w:rFonts w:ascii="Arial" w:hAnsi="Arial" w:cs="Arial"/>
          <w:sz w:val="20"/>
          <w:szCs w:val="20"/>
        </w:rPr>
        <w:t xml:space="preserve">annual </w:t>
      </w:r>
      <w:r w:rsidRPr="00565610">
        <w:rPr>
          <w:rFonts w:ascii="Arial" w:hAnsi="Arial" w:cs="Arial"/>
          <w:sz w:val="20"/>
          <w:szCs w:val="20"/>
        </w:rPr>
        <w:t xml:space="preserve">General Meeting of Shareholders approved: </w:t>
      </w:r>
    </w:p>
    <w:p w:rsidR="009E4487" w:rsidRDefault="009E448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65610" w:rsidRPr="00565610">
        <w:rPr>
          <w:rFonts w:ascii="Arial" w:hAnsi="Arial" w:cs="Arial"/>
          <w:sz w:val="20"/>
          <w:szCs w:val="20"/>
        </w:rPr>
        <w:t xml:space="preserve">Profit distribution as follows: </w:t>
      </w:r>
    </w:p>
    <w:p w:rsidR="009E4487" w:rsidRDefault="0056561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5610">
        <w:rPr>
          <w:rFonts w:ascii="Arial" w:hAnsi="Arial" w:cs="Arial"/>
          <w:sz w:val="20"/>
          <w:szCs w:val="20"/>
        </w:rPr>
        <w:t>+ Remuneration for the Board of Directors &amp; Supervisory Board</w:t>
      </w:r>
      <w:r w:rsidR="009E4487">
        <w:rPr>
          <w:rFonts w:ascii="Arial" w:hAnsi="Arial" w:cs="Arial"/>
          <w:sz w:val="20"/>
          <w:szCs w:val="20"/>
        </w:rPr>
        <w:t>: VND 125,769,436</w:t>
      </w:r>
    </w:p>
    <w:p w:rsidR="00F91E02" w:rsidRDefault="0056561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5610">
        <w:rPr>
          <w:rFonts w:ascii="Arial" w:hAnsi="Arial" w:cs="Arial"/>
          <w:sz w:val="20"/>
          <w:szCs w:val="20"/>
        </w:rPr>
        <w:t xml:space="preserve">+ </w:t>
      </w:r>
      <w:r w:rsidR="009E4487">
        <w:rPr>
          <w:rFonts w:ascii="Arial" w:hAnsi="Arial" w:cs="Arial"/>
          <w:sz w:val="20"/>
          <w:szCs w:val="20"/>
        </w:rPr>
        <w:t>Dividend payment: 3.8%/ c</w:t>
      </w:r>
      <w:r w:rsidRPr="00565610">
        <w:rPr>
          <w:rFonts w:ascii="Arial" w:hAnsi="Arial" w:cs="Arial"/>
          <w:sz w:val="20"/>
          <w:szCs w:val="20"/>
        </w:rPr>
        <w:t xml:space="preserve">hartered capital: VND 5,928,000,000 </w:t>
      </w:r>
    </w:p>
    <w:p w:rsidR="002E1DB0" w:rsidRDefault="0056561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5610">
        <w:rPr>
          <w:rFonts w:ascii="Arial" w:hAnsi="Arial" w:cs="Arial"/>
          <w:sz w:val="20"/>
          <w:szCs w:val="20"/>
        </w:rPr>
        <w:t>Article 7</w:t>
      </w:r>
      <w:r w:rsidR="002E1DB0">
        <w:rPr>
          <w:rFonts w:ascii="Arial" w:hAnsi="Arial" w:cs="Arial"/>
          <w:sz w:val="20"/>
          <w:szCs w:val="20"/>
        </w:rPr>
        <w:t>:</w:t>
      </w:r>
      <w:r w:rsidRPr="00565610">
        <w:rPr>
          <w:rFonts w:ascii="Arial" w:hAnsi="Arial" w:cs="Arial"/>
          <w:sz w:val="20"/>
          <w:szCs w:val="20"/>
        </w:rPr>
        <w:t xml:space="preserve"> Approving: </w:t>
      </w:r>
      <w:r w:rsidR="002E1DB0">
        <w:rPr>
          <w:rFonts w:ascii="Arial" w:hAnsi="Arial" w:cs="Arial"/>
          <w:sz w:val="20"/>
          <w:szCs w:val="20"/>
        </w:rPr>
        <w:t>operation plan; p</w:t>
      </w:r>
      <w:r w:rsidRPr="00565610">
        <w:rPr>
          <w:rFonts w:ascii="Arial" w:hAnsi="Arial" w:cs="Arial"/>
          <w:sz w:val="20"/>
          <w:szCs w:val="20"/>
        </w:rPr>
        <w:t>rofit distribution plan and dividend payment; Remuneration plan for the Board of Direc</w:t>
      </w:r>
      <w:r w:rsidR="002E1DB0">
        <w:rPr>
          <w:rFonts w:ascii="Arial" w:hAnsi="Arial" w:cs="Arial"/>
          <w:sz w:val="20"/>
          <w:szCs w:val="20"/>
        </w:rPr>
        <w:t>tors and the Supervisory Board;</w:t>
      </w:r>
      <w:r w:rsidRPr="00565610">
        <w:rPr>
          <w:rFonts w:ascii="Arial" w:hAnsi="Arial" w:cs="Arial"/>
          <w:sz w:val="20"/>
          <w:szCs w:val="20"/>
        </w:rPr>
        <w:t xml:space="preserve"> Investment plan </w:t>
      </w:r>
      <w:r w:rsidR="002E1DB0">
        <w:rPr>
          <w:rFonts w:ascii="Arial" w:hAnsi="Arial" w:cs="Arial"/>
          <w:sz w:val="20"/>
          <w:szCs w:val="20"/>
        </w:rPr>
        <w:t>for</w:t>
      </w:r>
      <w:r w:rsidRPr="00565610">
        <w:rPr>
          <w:rFonts w:ascii="Arial" w:hAnsi="Arial" w:cs="Arial"/>
          <w:sz w:val="20"/>
          <w:szCs w:val="20"/>
        </w:rPr>
        <w:t xml:space="preserve"> 2020: </w:t>
      </w:r>
    </w:p>
    <w:p w:rsidR="00DD7E57" w:rsidRDefault="002E1DB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</w:t>
      </w:r>
      <w:r w:rsidR="00565610" w:rsidRPr="005656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Operation plan and</w:t>
      </w:r>
      <w:r w:rsidR="00DD7E57">
        <w:rPr>
          <w:rFonts w:ascii="Arial" w:hAnsi="Arial" w:cs="Arial"/>
          <w:sz w:val="20"/>
          <w:szCs w:val="20"/>
        </w:rPr>
        <w:t xml:space="preserve"> profit distribution plan for</w:t>
      </w:r>
      <w:r w:rsidR="00565610" w:rsidRPr="00565610">
        <w:rPr>
          <w:rFonts w:ascii="Arial" w:hAnsi="Arial" w:cs="Arial"/>
          <w:sz w:val="20"/>
          <w:szCs w:val="20"/>
        </w:rPr>
        <w:t xml:space="preserve"> 2020: </w:t>
      </w:r>
    </w:p>
    <w:p w:rsidR="00565610" w:rsidRDefault="0056561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5610"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620"/>
        <w:gridCol w:w="5418"/>
      </w:tblGrid>
      <w:tr w:rsidR="00DD7E57" w:rsidTr="00787653">
        <w:tc>
          <w:tcPr>
            <w:tcW w:w="2538" w:type="dxa"/>
          </w:tcPr>
          <w:p w:rsidR="00DD7E57" w:rsidRDefault="00DD7E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620" w:type="dxa"/>
          </w:tcPr>
          <w:p w:rsidR="00DD7E57" w:rsidRDefault="00DD7E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5418" w:type="dxa"/>
          </w:tcPr>
          <w:p w:rsidR="00DD7E57" w:rsidRDefault="00DD7E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</w:tr>
      <w:tr w:rsidR="00DD7E57" w:rsidTr="00787653">
        <w:tc>
          <w:tcPr>
            <w:tcW w:w="2538" w:type="dxa"/>
          </w:tcPr>
          <w:p w:rsidR="00DD7E57" w:rsidRDefault="00DD7E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620" w:type="dxa"/>
          </w:tcPr>
          <w:p w:rsidR="00DD7E57" w:rsidRDefault="00DD7E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800,705</w:t>
            </w:r>
          </w:p>
        </w:tc>
        <w:tc>
          <w:tcPr>
            <w:tcW w:w="5418" w:type="dxa"/>
          </w:tcPr>
          <w:p w:rsidR="00DD7E57" w:rsidRDefault="00DD7E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652,150</w:t>
            </w:r>
          </w:p>
        </w:tc>
      </w:tr>
      <w:tr w:rsidR="00DD7E57" w:rsidTr="00787653">
        <w:tc>
          <w:tcPr>
            <w:tcW w:w="2538" w:type="dxa"/>
          </w:tcPr>
          <w:p w:rsidR="00DD7E57" w:rsidRDefault="00DD7E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620" w:type="dxa"/>
          </w:tcPr>
          <w:p w:rsidR="00DD7E57" w:rsidRDefault="00DD7E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5,922</w:t>
            </w:r>
          </w:p>
        </w:tc>
        <w:tc>
          <w:tcPr>
            <w:tcW w:w="5418" w:type="dxa"/>
          </w:tcPr>
          <w:p w:rsidR="00DD7E57" w:rsidRDefault="00DD7E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9,240</w:t>
            </w:r>
          </w:p>
        </w:tc>
      </w:tr>
      <w:tr w:rsidR="00DD7E57" w:rsidTr="00787653">
        <w:tc>
          <w:tcPr>
            <w:tcW w:w="2538" w:type="dxa"/>
          </w:tcPr>
          <w:p w:rsidR="00DD7E57" w:rsidRDefault="00DD7E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Charter capital </w:t>
            </w:r>
          </w:p>
        </w:tc>
        <w:tc>
          <w:tcPr>
            <w:tcW w:w="1620" w:type="dxa"/>
          </w:tcPr>
          <w:p w:rsidR="00DD7E57" w:rsidRDefault="00DD7E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5418" w:type="dxa"/>
          </w:tcPr>
          <w:p w:rsidR="00DD7E57" w:rsidRDefault="00DD7E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</w:tr>
      <w:tr w:rsidR="00787653" w:rsidTr="00787653">
        <w:tc>
          <w:tcPr>
            <w:tcW w:w="2538" w:type="dxa"/>
          </w:tcPr>
          <w:p w:rsidR="00787653" w:rsidRDefault="0078765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1620" w:type="dxa"/>
          </w:tcPr>
          <w:p w:rsidR="00787653" w:rsidRDefault="0078765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3.8%/ charter capital </w:t>
            </w:r>
          </w:p>
        </w:tc>
        <w:tc>
          <w:tcPr>
            <w:tcW w:w="5418" w:type="dxa"/>
          </w:tcPr>
          <w:p w:rsidR="00787653" w:rsidRDefault="0078765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05%/ charter capital </w:t>
            </w:r>
          </w:p>
        </w:tc>
      </w:tr>
      <w:tr w:rsidR="00787653" w:rsidTr="00787653">
        <w:tc>
          <w:tcPr>
            <w:tcW w:w="2538" w:type="dxa"/>
          </w:tcPr>
          <w:p w:rsidR="00787653" w:rsidRDefault="0078765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Remuneration for the Board of Directors and Supervisory Board </w:t>
            </w:r>
          </w:p>
        </w:tc>
        <w:tc>
          <w:tcPr>
            <w:tcW w:w="1620" w:type="dxa"/>
          </w:tcPr>
          <w:p w:rsidR="00787653" w:rsidRDefault="0078765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787653" w:rsidRDefault="00C846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In case of completing the plan on profit after tax of 2020, the remuneration is equivalent to 3% profit after tax (after extracting to funds in accordance with rules)</w:t>
            </w:r>
          </w:p>
          <w:p w:rsidR="00C8462B" w:rsidRDefault="00C846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7336D">
              <w:rPr>
                <w:rFonts w:ascii="Arial" w:hAnsi="Arial" w:cs="Arial"/>
                <w:sz w:val="20"/>
                <w:szCs w:val="20"/>
              </w:rPr>
              <w:t xml:space="preserve">In case of profit after tax exceeding the plan, for 1% of profit after tax exceeding the plan, the remuneration </w:t>
            </w:r>
            <w:r w:rsidR="004B580B">
              <w:rPr>
                <w:rFonts w:ascii="Arial" w:hAnsi="Arial" w:cs="Arial"/>
                <w:sz w:val="20"/>
                <w:szCs w:val="20"/>
              </w:rPr>
              <w:t xml:space="preserve">increases by a maximum of 2%. Total remuneration fund for the Board of Directors and Supervisory Board is not over 20% the salary of </w:t>
            </w:r>
            <w:r w:rsidR="00646C12">
              <w:rPr>
                <w:rFonts w:ascii="Arial" w:hAnsi="Arial" w:cs="Arial"/>
                <w:sz w:val="20"/>
                <w:szCs w:val="20"/>
              </w:rPr>
              <w:t>full-time managers in 2020 (including full-time members of Board of Directors, Supervisory Board, General Director, Deputy General Director, Chief Accountant)</w:t>
            </w:r>
          </w:p>
          <w:p w:rsidR="00646C12" w:rsidRDefault="00646C1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In case of profit after tax less than the plan, for 1% of profit after tax </w:t>
            </w:r>
            <w:r w:rsidR="00701A15">
              <w:rPr>
                <w:rFonts w:ascii="Arial" w:hAnsi="Arial" w:cs="Arial"/>
                <w:sz w:val="20"/>
                <w:szCs w:val="20"/>
              </w:rPr>
              <w:t xml:space="preserve">decreased, remuneration decreases by 1% </w:t>
            </w:r>
          </w:p>
          <w:p w:rsidR="00701A15" w:rsidRDefault="00701A15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In case of loss, no remuneration </w:t>
            </w:r>
          </w:p>
        </w:tc>
      </w:tr>
    </w:tbl>
    <w:p w:rsidR="00814AC5" w:rsidRDefault="00814AC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1067" w:rsidRDefault="00701A1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 Approve: Investment plan</w:t>
      </w:r>
    </w:p>
    <w:p w:rsidR="00701A15" w:rsidRDefault="00701A1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Assign the Management Board to build the plan on investment in fire protection, submitting the Board of Directors for approval</w:t>
      </w:r>
    </w:p>
    <w:p w:rsidR="00701A15" w:rsidRDefault="00701A1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 The annual General Meeting of Shareholders authorized the Board of Directors to choose a</w:t>
      </w:r>
      <w:r w:rsidR="007969D0">
        <w:rPr>
          <w:rFonts w:ascii="Arial" w:hAnsi="Arial" w:cs="Arial"/>
          <w:sz w:val="20"/>
          <w:szCs w:val="20"/>
        </w:rPr>
        <w:t xml:space="preserve"> prestigious </w:t>
      </w:r>
      <w:r>
        <w:rPr>
          <w:rFonts w:ascii="Arial" w:hAnsi="Arial" w:cs="Arial"/>
          <w:sz w:val="20"/>
          <w:szCs w:val="20"/>
        </w:rPr>
        <w:t xml:space="preserve">auditing company </w:t>
      </w:r>
      <w:r w:rsidR="007969D0">
        <w:rPr>
          <w:rFonts w:ascii="Arial" w:hAnsi="Arial" w:cs="Arial"/>
          <w:sz w:val="20"/>
          <w:szCs w:val="20"/>
        </w:rPr>
        <w:t>to audit the financial statement of 2020 of the Company</w:t>
      </w:r>
    </w:p>
    <w:p w:rsidR="007969D0" w:rsidRDefault="007969D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9: The annual General Meeting of Shareholders assigned the Board of Directors to direct the General Director to implement the contents of the General Mandate </w:t>
      </w:r>
      <w:r w:rsidR="008643FE">
        <w:rPr>
          <w:rFonts w:ascii="Arial" w:hAnsi="Arial" w:cs="Arial"/>
          <w:sz w:val="20"/>
          <w:szCs w:val="20"/>
        </w:rPr>
        <w:t>in accordance with the law and Charter of the Company</w:t>
      </w:r>
    </w:p>
    <w:p w:rsidR="008643FE" w:rsidRDefault="008643F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10: The General Mandate was approved by the annual General Meeting of Shareholders and took effect from 12 May 2020</w:t>
      </w:r>
    </w:p>
    <w:p w:rsidR="00391067" w:rsidRDefault="003910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9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A2E48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977AC"/>
    <w:rsid w:val="001B25AA"/>
    <w:rsid w:val="001B2E11"/>
    <w:rsid w:val="001E03D4"/>
    <w:rsid w:val="001F34A1"/>
    <w:rsid w:val="001F6744"/>
    <w:rsid w:val="00216A5D"/>
    <w:rsid w:val="00221EC5"/>
    <w:rsid w:val="00225894"/>
    <w:rsid w:val="00230EC9"/>
    <w:rsid w:val="00232199"/>
    <w:rsid w:val="00265ECA"/>
    <w:rsid w:val="00296BF9"/>
    <w:rsid w:val="002B42CC"/>
    <w:rsid w:val="002C23E5"/>
    <w:rsid w:val="002C36A5"/>
    <w:rsid w:val="002D481A"/>
    <w:rsid w:val="002D4939"/>
    <w:rsid w:val="002D53EE"/>
    <w:rsid w:val="002E0C30"/>
    <w:rsid w:val="002E1DB0"/>
    <w:rsid w:val="002E21E7"/>
    <w:rsid w:val="002E43D7"/>
    <w:rsid w:val="002E79AB"/>
    <w:rsid w:val="002E7FD0"/>
    <w:rsid w:val="002F5BA8"/>
    <w:rsid w:val="002F7125"/>
    <w:rsid w:val="00304722"/>
    <w:rsid w:val="0032185B"/>
    <w:rsid w:val="00322258"/>
    <w:rsid w:val="00327CF7"/>
    <w:rsid w:val="00331EB1"/>
    <w:rsid w:val="0033774A"/>
    <w:rsid w:val="0035197A"/>
    <w:rsid w:val="00351FF8"/>
    <w:rsid w:val="00353428"/>
    <w:rsid w:val="00357CCB"/>
    <w:rsid w:val="0036071A"/>
    <w:rsid w:val="0037607E"/>
    <w:rsid w:val="00391067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094"/>
    <w:rsid w:val="0040712C"/>
    <w:rsid w:val="004263B2"/>
    <w:rsid w:val="0042783A"/>
    <w:rsid w:val="00440BF3"/>
    <w:rsid w:val="004512F0"/>
    <w:rsid w:val="004530A7"/>
    <w:rsid w:val="00453C9C"/>
    <w:rsid w:val="00467BC0"/>
    <w:rsid w:val="0047038B"/>
    <w:rsid w:val="00490B2B"/>
    <w:rsid w:val="00496733"/>
    <w:rsid w:val="004B2BA6"/>
    <w:rsid w:val="004B580B"/>
    <w:rsid w:val="004C0412"/>
    <w:rsid w:val="004D016D"/>
    <w:rsid w:val="004D4171"/>
    <w:rsid w:val="004E4C16"/>
    <w:rsid w:val="004F29BA"/>
    <w:rsid w:val="00503DD6"/>
    <w:rsid w:val="00505065"/>
    <w:rsid w:val="0052379D"/>
    <w:rsid w:val="00530C53"/>
    <w:rsid w:val="00547232"/>
    <w:rsid w:val="0055067A"/>
    <w:rsid w:val="0055137D"/>
    <w:rsid w:val="005610CB"/>
    <w:rsid w:val="00565610"/>
    <w:rsid w:val="005728E5"/>
    <w:rsid w:val="00575D6C"/>
    <w:rsid w:val="00576A91"/>
    <w:rsid w:val="005771F6"/>
    <w:rsid w:val="0057722E"/>
    <w:rsid w:val="0058434E"/>
    <w:rsid w:val="005906FC"/>
    <w:rsid w:val="005B40E5"/>
    <w:rsid w:val="005D5EDB"/>
    <w:rsid w:val="005E6721"/>
    <w:rsid w:val="006000D8"/>
    <w:rsid w:val="00601895"/>
    <w:rsid w:val="0063035E"/>
    <w:rsid w:val="0063242E"/>
    <w:rsid w:val="006374A1"/>
    <w:rsid w:val="00646C12"/>
    <w:rsid w:val="00662D37"/>
    <w:rsid w:val="006838B7"/>
    <w:rsid w:val="00695ACD"/>
    <w:rsid w:val="006A2523"/>
    <w:rsid w:val="006A4FD8"/>
    <w:rsid w:val="006B04E8"/>
    <w:rsid w:val="006B36E8"/>
    <w:rsid w:val="006B635A"/>
    <w:rsid w:val="006E15A6"/>
    <w:rsid w:val="006E5E99"/>
    <w:rsid w:val="006F162C"/>
    <w:rsid w:val="006F2B51"/>
    <w:rsid w:val="00701A15"/>
    <w:rsid w:val="00710F35"/>
    <w:rsid w:val="00714CF6"/>
    <w:rsid w:val="00732DC3"/>
    <w:rsid w:val="007336C9"/>
    <w:rsid w:val="00744587"/>
    <w:rsid w:val="00745D9A"/>
    <w:rsid w:val="00750F3E"/>
    <w:rsid w:val="00751242"/>
    <w:rsid w:val="00763BA6"/>
    <w:rsid w:val="0077136F"/>
    <w:rsid w:val="0077336D"/>
    <w:rsid w:val="0077456B"/>
    <w:rsid w:val="00781EB4"/>
    <w:rsid w:val="0078219D"/>
    <w:rsid w:val="00787653"/>
    <w:rsid w:val="007969D0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14AC5"/>
    <w:rsid w:val="00815536"/>
    <w:rsid w:val="00837771"/>
    <w:rsid w:val="0084142F"/>
    <w:rsid w:val="0084485C"/>
    <w:rsid w:val="00853748"/>
    <w:rsid w:val="008544C2"/>
    <w:rsid w:val="00857249"/>
    <w:rsid w:val="008626C9"/>
    <w:rsid w:val="008643FE"/>
    <w:rsid w:val="008844CB"/>
    <w:rsid w:val="00884B9C"/>
    <w:rsid w:val="00891DAF"/>
    <w:rsid w:val="00897D81"/>
    <w:rsid w:val="008A5F4A"/>
    <w:rsid w:val="008C156B"/>
    <w:rsid w:val="008C7A42"/>
    <w:rsid w:val="008E51C4"/>
    <w:rsid w:val="00917106"/>
    <w:rsid w:val="00923467"/>
    <w:rsid w:val="009258BE"/>
    <w:rsid w:val="00931D6D"/>
    <w:rsid w:val="00937D79"/>
    <w:rsid w:val="00965014"/>
    <w:rsid w:val="00981275"/>
    <w:rsid w:val="0098256C"/>
    <w:rsid w:val="009C28F2"/>
    <w:rsid w:val="009E0E29"/>
    <w:rsid w:val="009E1744"/>
    <w:rsid w:val="009E4487"/>
    <w:rsid w:val="009E71CB"/>
    <w:rsid w:val="009F40C1"/>
    <w:rsid w:val="00A01930"/>
    <w:rsid w:val="00A06443"/>
    <w:rsid w:val="00A06521"/>
    <w:rsid w:val="00A128FC"/>
    <w:rsid w:val="00A33B01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D0C24"/>
    <w:rsid w:val="00AE6E83"/>
    <w:rsid w:val="00AF67BE"/>
    <w:rsid w:val="00B04704"/>
    <w:rsid w:val="00B14615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4F2C"/>
    <w:rsid w:val="00C57563"/>
    <w:rsid w:val="00C61EAF"/>
    <w:rsid w:val="00C65003"/>
    <w:rsid w:val="00C7067B"/>
    <w:rsid w:val="00C8462B"/>
    <w:rsid w:val="00C940B5"/>
    <w:rsid w:val="00CA1BB3"/>
    <w:rsid w:val="00CA22DF"/>
    <w:rsid w:val="00CB62A1"/>
    <w:rsid w:val="00CE40C1"/>
    <w:rsid w:val="00D05AAD"/>
    <w:rsid w:val="00D13079"/>
    <w:rsid w:val="00D340E2"/>
    <w:rsid w:val="00D372E3"/>
    <w:rsid w:val="00D415AC"/>
    <w:rsid w:val="00D455F3"/>
    <w:rsid w:val="00D47ED3"/>
    <w:rsid w:val="00D503EA"/>
    <w:rsid w:val="00D51595"/>
    <w:rsid w:val="00D52C26"/>
    <w:rsid w:val="00D600E0"/>
    <w:rsid w:val="00D64EE0"/>
    <w:rsid w:val="00D651E1"/>
    <w:rsid w:val="00D66996"/>
    <w:rsid w:val="00D74339"/>
    <w:rsid w:val="00D77F89"/>
    <w:rsid w:val="00D831C0"/>
    <w:rsid w:val="00D8410E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D7E57"/>
    <w:rsid w:val="00DE5C3C"/>
    <w:rsid w:val="00DF4180"/>
    <w:rsid w:val="00DF739B"/>
    <w:rsid w:val="00E053D5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160CA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91E02"/>
    <w:rsid w:val="00FC153A"/>
    <w:rsid w:val="00FD3EED"/>
    <w:rsid w:val="00FD4001"/>
    <w:rsid w:val="00FE1016"/>
    <w:rsid w:val="00FE1D49"/>
    <w:rsid w:val="00FF1161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252</cp:revision>
  <dcterms:created xsi:type="dcterms:W3CDTF">2019-10-16T10:03:00Z</dcterms:created>
  <dcterms:modified xsi:type="dcterms:W3CDTF">2020-05-20T07:29:00Z</dcterms:modified>
</cp:coreProperties>
</file>